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88DCCA5" w14:textId="3225C244" w:rsidR="00791079" w:rsidRPr="00B266B0" w:rsidRDefault="00791079" w:rsidP="00791079">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#108</w:t>
      </w:r>
      <w:r w:rsidRPr="00B266B0">
        <w:rPr>
          <w:bCs/>
          <w:noProof w:val="0"/>
          <w:sz w:val="24"/>
          <w:szCs w:val="24"/>
        </w:rPr>
        <w:tab/>
      </w:r>
      <w:r w:rsidR="00D53569" w:rsidRPr="00D53569">
        <w:rPr>
          <w:bCs/>
          <w:noProof w:val="0"/>
          <w:sz w:val="24"/>
          <w:szCs w:val="24"/>
        </w:rPr>
        <w:t>R2-1915330</w:t>
      </w:r>
    </w:p>
    <w:p w14:paraId="11776FA6" w14:textId="6A646182" w:rsidR="00A209D6" w:rsidRPr="00791079" w:rsidRDefault="00791079" w:rsidP="00791079">
      <w:pPr>
        <w:pStyle w:val="Header"/>
        <w:tabs>
          <w:tab w:val="right" w:pos="9639"/>
        </w:tabs>
        <w:rPr>
          <w:rFonts w:eastAsia="SimSun"/>
          <w:bCs/>
          <w:i/>
          <w:sz w:val="24"/>
          <w:szCs w:val="24"/>
          <w:lang w:eastAsia="zh-CN"/>
        </w:rPr>
      </w:pPr>
      <w:r>
        <w:rPr>
          <w:rFonts w:eastAsia="SimSun"/>
          <w:bCs/>
          <w:sz w:val="24"/>
          <w:szCs w:val="24"/>
          <w:lang w:eastAsia="zh-CN"/>
        </w:rPr>
        <w:t>Reno</w:t>
      </w:r>
      <w:r w:rsidRPr="006574C0">
        <w:rPr>
          <w:rFonts w:eastAsia="SimSun"/>
          <w:bCs/>
          <w:sz w:val="24"/>
          <w:szCs w:val="24"/>
          <w:lang w:eastAsia="zh-CN"/>
        </w:rPr>
        <w:t xml:space="preserve">,  </w:t>
      </w:r>
      <w:r>
        <w:rPr>
          <w:rFonts w:eastAsia="SimSun"/>
          <w:bCs/>
          <w:sz w:val="24"/>
          <w:szCs w:val="24"/>
          <w:lang w:eastAsia="zh-CN"/>
        </w:rPr>
        <w:t>USA</w:t>
      </w:r>
      <w:r w:rsidRPr="006574C0">
        <w:rPr>
          <w:rFonts w:eastAsia="SimSun"/>
          <w:bCs/>
          <w:sz w:val="24"/>
          <w:szCs w:val="24"/>
          <w:lang w:eastAsia="zh-CN"/>
        </w:rPr>
        <w:t xml:space="preserve">, </w:t>
      </w:r>
      <w:r>
        <w:rPr>
          <w:rFonts w:eastAsia="SimSun"/>
          <w:bCs/>
          <w:sz w:val="24"/>
          <w:szCs w:val="24"/>
          <w:lang w:eastAsia="zh-CN"/>
        </w:rPr>
        <w:t>18</w:t>
      </w:r>
      <w:r w:rsidRPr="006574C0">
        <w:rPr>
          <w:rFonts w:eastAsia="SimSun"/>
          <w:bCs/>
          <w:sz w:val="24"/>
          <w:szCs w:val="24"/>
          <w:lang w:eastAsia="zh-CN"/>
        </w:rPr>
        <w:t xml:space="preserve"> – </w:t>
      </w:r>
      <w:r>
        <w:rPr>
          <w:rFonts w:eastAsia="SimSun"/>
          <w:bCs/>
          <w:sz w:val="24"/>
          <w:szCs w:val="24"/>
          <w:lang w:eastAsia="zh-CN"/>
        </w:rPr>
        <w:t>22</w:t>
      </w:r>
      <w:r w:rsidRPr="006574C0">
        <w:rPr>
          <w:rFonts w:eastAsia="SimSun"/>
          <w:bCs/>
          <w:sz w:val="24"/>
          <w:szCs w:val="24"/>
          <w:lang w:eastAsia="zh-CN"/>
        </w:rPr>
        <w:t xml:space="preserve"> </w:t>
      </w:r>
      <w:r>
        <w:rPr>
          <w:rFonts w:eastAsia="SimSun"/>
          <w:bCs/>
          <w:sz w:val="24"/>
          <w:szCs w:val="24"/>
          <w:lang w:eastAsia="zh-CN"/>
        </w:rPr>
        <w:t>November</w:t>
      </w:r>
      <w:r w:rsidRPr="006574C0">
        <w:rPr>
          <w:rFonts w:eastAsia="SimSun"/>
          <w:bCs/>
          <w:sz w:val="24"/>
          <w:szCs w:val="24"/>
          <w:lang w:eastAsia="zh-CN"/>
        </w:rPr>
        <w:t xml:space="preserve"> 2019</w:t>
      </w:r>
      <w:r>
        <w:rPr>
          <w:rFonts w:eastAsia="SimSun"/>
          <w:noProof w:val="0"/>
          <w:sz w:val="24"/>
          <w:szCs w:val="24"/>
          <w:lang w:eastAsia="zh-CN"/>
        </w:rPr>
        <w:tab/>
      </w:r>
      <w:r w:rsidR="00B23F30">
        <w:rPr>
          <w:rFonts w:eastAsia="SimSun"/>
          <w:i/>
          <w:noProof w:val="0"/>
          <w:sz w:val="24"/>
          <w:szCs w:val="24"/>
          <w:lang w:eastAsia="zh-CN"/>
        </w:rPr>
        <w:t>Revision</w:t>
      </w:r>
      <w:r w:rsidR="00E95C93">
        <w:rPr>
          <w:rFonts w:eastAsia="SimSun"/>
          <w:i/>
          <w:noProof w:val="0"/>
          <w:sz w:val="24"/>
          <w:szCs w:val="24"/>
          <w:lang w:eastAsia="zh-CN"/>
        </w:rPr>
        <w:t xml:space="preserve"> of </w:t>
      </w:r>
      <w:r>
        <w:rPr>
          <w:rFonts w:eastAsia="SimSun"/>
          <w:i/>
          <w:noProof w:val="0"/>
          <w:sz w:val="24"/>
          <w:szCs w:val="24"/>
          <w:lang w:eastAsia="zh-CN"/>
        </w:rPr>
        <w:t>R2-1913222</w:t>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593AF86E"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9930E4">
        <w:rPr>
          <w:rFonts w:cs="Arial"/>
          <w:b/>
          <w:bCs/>
          <w:sz w:val="24"/>
          <w:lang w:eastAsia="ja-JP"/>
        </w:rPr>
        <w:t>6.13.</w:t>
      </w:r>
      <w:r w:rsidR="00D53569">
        <w:rPr>
          <w:rFonts w:cs="Arial"/>
          <w:b/>
          <w:bCs/>
          <w:sz w:val="24"/>
          <w:lang w:eastAsia="ja-JP"/>
        </w:rPr>
        <w:t>4</w:t>
      </w:r>
      <w:bookmarkStart w:id="0" w:name="_GoBack"/>
      <w:bookmarkEnd w:id="0"/>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30588456"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9930E4">
        <w:rPr>
          <w:rFonts w:ascii="Arial" w:hAnsi="Arial" w:cs="Arial"/>
          <w:b/>
          <w:bCs/>
          <w:sz w:val="24"/>
        </w:rPr>
        <w:t>CFRA for 2-step</w:t>
      </w:r>
      <w:r w:rsidR="00CB2FC3">
        <w:rPr>
          <w:rFonts w:ascii="Arial" w:hAnsi="Arial" w:cs="Arial"/>
          <w:b/>
          <w:bCs/>
          <w:sz w:val="24"/>
        </w:rPr>
        <w:t xml:space="preserve"> RACH</w:t>
      </w:r>
    </w:p>
    <w:p w14:paraId="1F147C23" w14:textId="47603269"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376617" w:rsidRPr="00376617">
        <w:rPr>
          <w:rFonts w:ascii="Arial" w:hAnsi="Arial" w:cs="Arial"/>
          <w:b/>
          <w:bCs/>
          <w:sz w:val="24"/>
        </w:rPr>
        <w:t>NR_2step_RACH-Core</w:t>
      </w:r>
      <w:r w:rsidR="00376617">
        <w:rPr>
          <w:rFonts w:ascii="Arial" w:hAnsi="Arial" w:cs="Arial"/>
          <w:b/>
          <w:bCs/>
          <w:sz w:val="24"/>
        </w:rPr>
        <w:t xml:space="preserve"> </w:t>
      </w:r>
      <w:r>
        <w:rPr>
          <w:rFonts w:ascii="Arial" w:hAnsi="Arial" w:cs="Arial"/>
          <w:b/>
          <w:bCs/>
          <w:sz w:val="24"/>
        </w:rPr>
        <w:t xml:space="preserve">- Release </w:t>
      </w:r>
      <w:r w:rsidR="00376617">
        <w:rPr>
          <w:rFonts w:ascii="Arial" w:hAnsi="Arial" w:cs="Arial"/>
          <w:b/>
          <w:bCs/>
          <w:sz w:val="24"/>
        </w:rPr>
        <w:t>16</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74B691FF" w14:textId="25D433B2" w:rsidR="004C6D22" w:rsidRDefault="004C6D22" w:rsidP="00A209D6">
      <w:r>
        <w:t>The previous RAN#85 meeting approved to include support for CFRA (Contention Free Random Access) in 2-step RACH. The following was added to the WID</w:t>
      </w:r>
      <w:r w:rsidR="004670E5">
        <w:t xml:space="preserve"> [</w:t>
      </w:r>
      <w:hyperlink r:id="rId12" w:history="1">
        <w:r w:rsidR="004670E5" w:rsidRPr="004670E5">
          <w:rPr>
            <w:rStyle w:val="Hyperlink"/>
          </w:rPr>
          <w:t>RP-192330</w:t>
        </w:r>
      </w:hyperlink>
      <w:r w:rsidR="004670E5">
        <w:t>]</w:t>
      </w:r>
      <w:r>
        <w:t>:</w:t>
      </w:r>
    </w:p>
    <w:tbl>
      <w:tblPr>
        <w:tblStyle w:val="TableGrid"/>
        <w:tblW w:w="0" w:type="auto"/>
        <w:tblLook w:val="04A0" w:firstRow="1" w:lastRow="0" w:firstColumn="1" w:lastColumn="0" w:noHBand="0" w:noVBand="1"/>
      </w:tblPr>
      <w:tblGrid>
        <w:gridCol w:w="9631"/>
      </w:tblGrid>
      <w:tr w:rsidR="004C6D22" w14:paraId="6FF4B66A" w14:textId="77777777" w:rsidTr="004C6D22">
        <w:tc>
          <w:tcPr>
            <w:tcW w:w="9631" w:type="dxa"/>
            <w:shd w:val="clear" w:color="auto" w:fill="F2F2F2" w:themeFill="background1" w:themeFillShade="F2"/>
          </w:tcPr>
          <w:p w14:paraId="30D64BD3" w14:textId="77777777" w:rsidR="004C6D22" w:rsidRPr="004C6D22" w:rsidRDefault="004C6D22" w:rsidP="004C6D22">
            <w:pPr>
              <w:numPr>
                <w:ilvl w:val="0"/>
                <w:numId w:val="8"/>
              </w:numPr>
              <w:rPr>
                <w:bCs/>
                <w:i/>
                <w:lang w:val="en-US"/>
              </w:rPr>
            </w:pPr>
            <w:r w:rsidRPr="004C6D22">
              <w:rPr>
                <w:bCs/>
                <w:i/>
                <w:lang w:val="en-US"/>
              </w:rPr>
              <w:t>All triggers for Rel-15 NR 4-step RACH are applied for 2-step RACH (this includes triggers for SI Request and BFR as agreed by RAN2)</w:t>
            </w:r>
          </w:p>
          <w:p w14:paraId="2827A31D" w14:textId="77777777" w:rsidR="004C6D22" w:rsidRPr="004C6D22" w:rsidRDefault="004C6D22" w:rsidP="004C6D22">
            <w:pPr>
              <w:numPr>
                <w:ilvl w:val="1"/>
                <w:numId w:val="8"/>
              </w:numPr>
              <w:rPr>
                <w:bCs/>
                <w:i/>
                <w:lang w:val="en-US"/>
              </w:rPr>
            </w:pPr>
            <w:r w:rsidRPr="004C6D22">
              <w:rPr>
                <w:bCs/>
                <w:i/>
                <w:lang w:val="en-US"/>
              </w:rPr>
              <w:t>No new triggers for 2 step RACH</w:t>
            </w:r>
          </w:p>
          <w:p w14:paraId="13A951A0" w14:textId="77777777" w:rsidR="004C6D22" w:rsidRPr="004C6D22" w:rsidRDefault="004C6D22" w:rsidP="004C6D22">
            <w:pPr>
              <w:numPr>
                <w:ilvl w:val="1"/>
                <w:numId w:val="8"/>
              </w:numPr>
              <w:rPr>
                <w:bCs/>
                <w:i/>
                <w:highlight w:val="yellow"/>
                <w:lang w:val="en-US"/>
              </w:rPr>
            </w:pPr>
            <w:r w:rsidRPr="004C6D22">
              <w:rPr>
                <w:bCs/>
                <w:i/>
                <w:highlight w:val="yellow"/>
                <w:lang w:val="en-US"/>
              </w:rPr>
              <w:t>Contention-free 2 step RACH is only supported for the handover case</w:t>
            </w:r>
          </w:p>
          <w:p w14:paraId="01032024" w14:textId="693143A2" w:rsidR="004C6D22" w:rsidRPr="004C6D22" w:rsidRDefault="004C6D22" w:rsidP="00A209D6">
            <w:pPr>
              <w:rPr>
                <w:bCs/>
                <w:lang w:val="en-US"/>
              </w:rPr>
            </w:pPr>
            <w:r w:rsidRPr="004C6D22">
              <w:rPr>
                <w:bCs/>
                <w:i/>
                <w:highlight w:val="yellow"/>
                <w:lang w:val="en-US"/>
              </w:rPr>
              <w:t>Note 3: The work on contention-free 2-step RACH procedure is of lower priority and should be pursued in RAN2 only if there is time.</w:t>
            </w:r>
            <w:r w:rsidRPr="004C6D22">
              <w:rPr>
                <w:bCs/>
                <w:lang w:val="en-US"/>
              </w:rPr>
              <w:t xml:space="preserve"> </w:t>
            </w:r>
          </w:p>
        </w:tc>
      </w:tr>
    </w:tbl>
    <w:p w14:paraId="6EB66564" w14:textId="123852B1" w:rsidR="004C6D22" w:rsidRDefault="004C6D22" w:rsidP="00A209D6"/>
    <w:p w14:paraId="15C904D4" w14:textId="7B98BEF6" w:rsidR="004C6D22" w:rsidRDefault="004C6D22" w:rsidP="00A209D6">
      <w:r>
        <w:t>Furthermore, RAN2 agreed the following in the previous RAN2#107 meeting:</w:t>
      </w:r>
    </w:p>
    <w:tbl>
      <w:tblPr>
        <w:tblStyle w:val="TableGrid"/>
        <w:tblW w:w="0" w:type="auto"/>
        <w:tblLook w:val="04A0" w:firstRow="1" w:lastRow="0" w:firstColumn="1" w:lastColumn="0" w:noHBand="0" w:noVBand="1"/>
      </w:tblPr>
      <w:tblGrid>
        <w:gridCol w:w="9631"/>
      </w:tblGrid>
      <w:tr w:rsidR="004C6D22" w14:paraId="36A18CAF" w14:textId="77777777" w:rsidTr="004C6D22">
        <w:tc>
          <w:tcPr>
            <w:tcW w:w="9631" w:type="dxa"/>
            <w:shd w:val="clear" w:color="auto" w:fill="F2F2F2" w:themeFill="background1" w:themeFillShade="F2"/>
          </w:tcPr>
          <w:p w14:paraId="709AE18F" w14:textId="77777777" w:rsidR="004670E5" w:rsidRPr="004670E5" w:rsidRDefault="004670E5" w:rsidP="004670E5">
            <w:pPr>
              <w:rPr>
                <w:i/>
              </w:rPr>
            </w:pPr>
            <w:r w:rsidRPr="004670E5">
              <w:rPr>
                <w:i/>
              </w:rPr>
              <w:t>=&gt;</w:t>
            </w:r>
            <w:r w:rsidRPr="004670E5">
              <w:rPr>
                <w:i/>
              </w:rPr>
              <w:tab/>
              <w:t>From RAN2 point of view, there is benefits to support 2-step CFRA for HO (</w:t>
            </w:r>
            <w:r w:rsidRPr="004670E5">
              <w:rPr>
                <w:i/>
                <w:highlight w:val="yellow"/>
              </w:rPr>
              <w:t>dedicated preamble and dedicated PUSCH</w:t>
            </w:r>
            <w:r w:rsidRPr="004670E5">
              <w:rPr>
                <w:i/>
              </w:rPr>
              <w:t xml:space="preserve">).   </w:t>
            </w:r>
          </w:p>
          <w:p w14:paraId="63AE73E9" w14:textId="370AD98B" w:rsidR="004C6D22" w:rsidRDefault="004670E5" w:rsidP="00A209D6">
            <w:r w:rsidRPr="004670E5">
              <w:rPr>
                <w:i/>
              </w:rPr>
              <w:t>=&gt;</w:t>
            </w:r>
            <w:r w:rsidRPr="004670E5">
              <w:rPr>
                <w:i/>
              </w:rPr>
              <w:tab/>
              <w:t xml:space="preserve">2-step CFRA (dedicated preamble and dedicated PUSCH) can be an alternative RACH-less HO.  It is up to the plenary to decide how to handle this and whether we chose to do anything at all.  </w:t>
            </w:r>
          </w:p>
        </w:tc>
      </w:tr>
    </w:tbl>
    <w:p w14:paraId="2DE2CC0B" w14:textId="3648697C" w:rsidR="004C6D22" w:rsidRDefault="004C6D22" w:rsidP="00A209D6"/>
    <w:p w14:paraId="13039889" w14:textId="28814E60" w:rsidR="004670E5" w:rsidRDefault="004670E5" w:rsidP="00A209D6">
      <w:r>
        <w:t xml:space="preserve">Hence, </w:t>
      </w:r>
      <w:proofErr w:type="gramStart"/>
      <w:r>
        <w:t>it should be understood that the</w:t>
      </w:r>
      <w:proofErr w:type="gramEnd"/>
      <w:r>
        <w:t xml:space="preserve"> CFRA applies only for the case where both the preamble and the PUSCH resources are provided dedicated to a UE, </w:t>
      </w:r>
      <w:proofErr w:type="spellStart"/>
      <w:r>
        <w:t>ie</w:t>
      </w:r>
      <w:proofErr w:type="spellEnd"/>
      <w:r>
        <w:t>., both are contention free.</w:t>
      </w:r>
      <w:r w:rsidR="00641F6C">
        <w:t xml:space="preserve"> Furthermore, as the case to support if HO only, no PDCCH ordered 2-step CFRA need to be considered.</w:t>
      </w:r>
    </w:p>
    <w:p w14:paraId="477843DF" w14:textId="33416478" w:rsidR="004670E5" w:rsidRDefault="00641F6C" w:rsidP="00A209D6">
      <w:r>
        <w:t>In this contribution we discuss the further details what should be enabled in support for 2-step CFRA.</w:t>
      </w:r>
    </w:p>
    <w:p w14:paraId="2BBFF540" w14:textId="6AC0E191" w:rsidR="00A209D6" w:rsidRDefault="00A209D6" w:rsidP="00A209D6">
      <w:pPr>
        <w:pStyle w:val="Heading1"/>
      </w:pPr>
      <w:r w:rsidRPr="006E13D1">
        <w:t>2</w:t>
      </w:r>
      <w:r w:rsidRPr="006E13D1">
        <w:tab/>
      </w:r>
      <w:r w:rsidR="00641F6C">
        <w:t>Discussion</w:t>
      </w:r>
    </w:p>
    <w:p w14:paraId="049A562A" w14:textId="3C4CFD28" w:rsidR="00641F6C" w:rsidRDefault="00641F6C" w:rsidP="00641F6C">
      <w:pPr>
        <w:pStyle w:val="Heading2"/>
      </w:pPr>
      <w:r>
        <w:t>2.1</w:t>
      </w:r>
      <w:r>
        <w:tab/>
        <w:t>Fallback to CBRA</w:t>
      </w:r>
    </w:p>
    <w:p w14:paraId="7098B2FB" w14:textId="30545DF6" w:rsidR="00641F6C" w:rsidRDefault="00641F6C" w:rsidP="00641F6C">
      <w:proofErr w:type="gramStart"/>
      <w:r>
        <w:t>Similarly</w:t>
      </w:r>
      <w:proofErr w:type="gramEnd"/>
      <w:r>
        <w:t xml:space="preserve"> to Rel-15 RA with CFRA and 4-step CBRA, it needs to be considered whether we allow fallback from 2-step CFRA to CBRA. Given that providing a CFRA resources for all the beams in a cell for a single UE seems not practical (especially, for 2-step as it involves the indication of the PUSCH resources as well), it seems natural to support the fallback to CBRA in case no beam with 2-step CFRA resource is available.</w:t>
      </w:r>
    </w:p>
    <w:p w14:paraId="02CE7E2A" w14:textId="410740E1" w:rsidR="00641F6C" w:rsidRDefault="00641F6C" w:rsidP="00641F6C">
      <w:pPr>
        <w:rPr>
          <w:b/>
        </w:rPr>
      </w:pPr>
      <w:r>
        <w:rPr>
          <w:b/>
        </w:rPr>
        <w:t xml:space="preserve">Proposal 1: </w:t>
      </w:r>
      <w:proofErr w:type="gramStart"/>
      <w:r>
        <w:rPr>
          <w:b/>
        </w:rPr>
        <w:t>Similarly</w:t>
      </w:r>
      <w:proofErr w:type="gramEnd"/>
      <w:r>
        <w:rPr>
          <w:b/>
        </w:rPr>
        <w:t xml:space="preserve"> to Rel-15, fallback from 2-step CFRA to CBRA is supported in case no beam with 2-step CFRA resource is available.</w:t>
      </w:r>
    </w:p>
    <w:p w14:paraId="4E50CCB5" w14:textId="0322B209" w:rsidR="00015C96" w:rsidRDefault="00015C96" w:rsidP="00641F6C">
      <w:r>
        <w:t>In the previous meeting, the switching from 2-step RACH to 4-step RACH after ‘N’ reattempts on 2-step RACH failed was discussed and the following was concluded:</w:t>
      </w:r>
    </w:p>
    <w:p w14:paraId="1E2051CA" w14:textId="77777777" w:rsidR="00015C96" w:rsidRPr="00015C96" w:rsidRDefault="00015C96" w:rsidP="00015C96">
      <w:pPr>
        <w:pStyle w:val="Doc-text2"/>
        <w:pBdr>
          <w:top w:val="single" w:sz="4" w:space="1" w:color="auto"/>
          <w:left w:val="single" w:sz="4" w:space="4" w:color="auto"/>
          <w:bottom w:val="single" w:sz="4" w:space="1" w:color="auto"/>
          <w:right w:val="single" w:sz="4" w:space="4" w:color="auto"/>
        </w:pBdr>
        <w:ind w:left="931"/>
        <w:rPr>
          <w:b/>
          <w:i/>
        </w:rPr>
      </w:pPr>
      <w:r w:rsidRPr="00015C96">
        <w:rPr>
          <w:b/>
          <w:i/>
        </w:rPr>
        <w:lastRenderedPageBreak/>
        <w:t>Agreements:</w:t>
      </w:r>
    </w:p>
    <w:p w14:paraId="58EE6E40" w14:textId="77777777" w:rsidR="00015C96" w:rsidRPr="00015C96" w:rsidRDefault="00015C96" w:rsidP="00015C96">
      <w:pPr>
        <w:pStyle w:val="Doc-text2"/>
        <w:numPr>
          <w:ilvl w:val="0"/>
          <w:numId w:val="11"/>
        </w:numPr>
        <w:pBdr>
          <w:top w:val="single" w:sz="4" w:space="1" w:color="auto"/>
          <w:left w:val="single" w:sz="4" w:space="4" w:color="auto"/>
          <w:bottom w:val="single" w:sz="4" w:space="1" w:color="auto"/>
          <w:right w:val="single" w:sz="4" w:space="4" w:color="auto"/>
        </w:pBdr>
        <w:ind w:left="928"/>
        <w:rPr>
          <w:i/>
        </w:rPr>
      </w:pPr>
      <w:r w:rsidRPr="00015C96">
        <w:rPr>
          <w:i/>
        </w:rPr>
        <w:t>Introduce preambles group A and B for 2-step RACH.</w:t>
      </w:r>
    </w:p>
    <w:p w14:paraId="08202F9C" w14:textId="77777777" w:rsidR="00015C96" w:rsidRPr="00015C96" w:rsidRDefault="00015C96" w:rsidP="00015C96">
      <w:pPr>
        <w:pStyle w:val="Doc-text2"/>
        <w:numPr>
          <w:ilvl w:val="0"/>
          <w:numId w:val="11"/>
        </w:numPr>
        <w:pBdr>
          <w:top w:val="single" w:sz="4" w:space="1" w:color="auto"/>
          <w:left w:val="single" w:sz="4" w:space="4" w:color="auto"/>
          <w:bottom w:val="single" w:sz="4" w:space="1" w:color="auto"/>
          <w:right w:val="single" w:sz="4" w:space="4" w:color="auto"/>
        </w:pBdr>
        <w:ind w:left="928"/>
        <w:rPr>
          <w:i/>
        </w:rPr>
      </w:pPr>
      <w:r w:rsidRPr="00015C96">
        <w:rPr>
          <w:i/>
        </w:rPr>
        <w:t xml:space="preserve">TB size offered in UL grant in the Msg2 RAR in 4-step RACH shall be the same as the TB size offered for payload transmission in </w:t>
      </w:r>
      <w:proofErr w:type="spellStart"/>
      <w:r w:rsidRPr="00015C96">
        <w:rPr>
          <w:i/>
        </w:rPr>
        <w:t>MsgA</w:t>
      </w:r>
      <w:proofErr w:type="spellEnd"/>
      <w:r w:rsidRPr="00015C96">
        <w:rPr>
          <w:i/>
        </w:rPr>
        <w:t xml:space="preserve"> in 2-step RACH; otherwise, the UE </w:t>
      </w:r>
      <w:proofErr w:type="spellStart"/>
      <w:r w:rsidRPr="00015C96">
        <w:rPr>
          <w:i/>
        </w:rPr>
        <w:t>behavior</w:t>
      </w:r>
      <w:proofErr w:type="spellEnd"/>
      <w:r w:rsidRPr="00015C96">
        <w:rPr>
          <w:i/>
        </w:rPr>
        <w:t xml:space="preserve"> is not defined (i.e. it is up to UE implementation).  Rebuilding is not supported in the specification (i.e. it is up to UE implementation).</w:t>
      </w:r>
    </w:p>
    <w:p w14:paraId="6514B492" w14:textId="734B1311" w:rsidR="00015C96" w:rsidRDefault="00015C96" w:rsidP="00641F6C"/>
    <w:p w14:paraId="22276691" w14:textId="64619E8C" w:rsidR="00015C96" w:rsidRDefault="00015C96" w:rsidP="00641F6C">
      <w:r>
        <w:t>Given that NW will likely use the same PUSCH occasions for CFRA as is used for CBRA in 2-step RACH, it seems reasonable to assume that the payload size could be the same between CFRA and CBRA, either with Preamble group A or B. Hence, we think standardized solution for rebuilding is neither needed for switching between CFRA and CBRA.</w:t>
      </w:r>
    </w:p>
    <w:p w14:paraId="727DEC10" w14:textId="42E1D0CF" w:rsidR="00015C96" w:rsidRDefault="00015C96" w:rsidP="00015C96">
      <w:pPr>
        <w:rPr>
          <w:b/>
        </w:rPr>
      </w:pPr>
      <w:r>
        <w:rPr>
          <w:b/>
        </w:rPr>
        <w:t>Proposal 2: No rebuilding is supported in the specification for the case of CFRA to CBRA switch in 2-step RACH.</w:t>
      </w:r>
    </w:p>
    <w:p w14:paraId="7AB8A87C" w14:textId="5DE214D0" w:rsidR="00641F6C" w:rsidRDefault="00641F6C" w:rsidP="00641F6C">
      <w:pPr>
        <w:pStyle w:val="Heading2"/>
      </w:pPr>
      <w:r>
        <w:t>2.2</w:t>
      </w:r>
      <w:r>
        <w:tab/>
        <w:t xml:space="preserve">Inclusion of C-RNTI MAC CE into </w:t>
      </w:r>
      <w:proofErr w:type="spellStart"/>
      <w:r>
        <w:t>MsgA</w:t>
      </w:r>
      <w:proofErr w:type="spellEnd"/>
      <w:r>
        <w:t xml:space="preserve"> payload</w:t>
      </w:r>
    </w:p>
    <w:p w14:paraId="454567D3" w14:textId="797E380D" w:rsidR="00641F6C" w:rsidRDefault="00641F6C" w:rsidP="00641F6C">
      <w:r>
        <w:t xml:space="preserve">The next issue is to consider whether C-RNTI MAC CE is included into </w:t>
      </w:r>
      <w:proofErr w:type="spellStart"/>
      <w:r>
        <w:t>MsgA</w:t>
      </w:r>
      <w:proofErr w:type="spellEnd"/>
      <w:r>
        <w:t xml:space="preserve"> payload given the NW can identify the UE</w:t>
      </w:r>
      <w:r w:rsidR="00E913F2">
        <w:t xml:space="preserve"> also from the preamble part of the </w:t>
      </w:r>
      <w:proofErr w:type="spellStart"/>
      <w:r w:rsidR="00E913F2">
        <w:t>MsgA</w:t>
      </w:r>
      <w:proofErr w:type="spellEnd"/>
      <w:r w:rsidR="00E913F2">
        <w:t xml:space="preserve">. As the fallback to CBRA needs to be supported, by not including the C-RNTI MAC CE into </w:t>
      </w:r>
      <w:proofErr w:type="spellStart"/>
      <w:r w:rsidR="00E913F2">
        <w:t>MsgA</w:t>
      </w:r>
      <w:proofErr w:type="spellEnd"/>
      <w:r w:rsidR="00E913F2">
        <w:t xml:space="preserve"> payload, this would mean we would need to support rebuilding of </w:t>
      </w:r>
      <w:proofErr w:type="spellStart"/>
      <w:r w:rsidR="00E913F2">
        <w:t>MsgA</w:t>
      </w:r>
      <w:proofErr w:type="spellEnd"/>
      <w:r w:rsidR="00E913F2">
        <w:t xml:space="preserve">/Msg3 payload as for CBRA case the C-RNTI MAC CE is naturally needed being able to identify the UE. To avoid such complexity and specification effort in supporting such case, we think the C-RNTI MAC CE can be always included into the </w:t>
      </w:r>
      <w:proofErr w:type="spellStart"/>
      <w:r w:rsidR="00E913F2">
        <w:t>MsgA</w:t>
      </w:r>
      <w:proofErr w:type="spellEnd"/>
      <w:r w:rsidR="00E913F2">
        <w:t xml:space="preserve">, </w:t>
      </w:r>
      <w:proofErr w:type="spellStart"/>
      <w:r w:rsidR="00E913F2">
        <w:t>ie</w:t>
      </w:r>
      <w:proofErr w:type="spellEnd"/>
      <w:r w:rsidR="00E913F2">
        <w:t>., also for the 2-step CFRA case.</w:t>
      </w:r>
    </w:p>
    <w:p w14:paraId="7A394EF8" w14:textId="6595F415" w:rsidR="00E913F2" w:rsidRPr="00E913F2" w:rsidRDefault="00E913F2" w:rsidP="00641F6C">
      <w:pPr>
        <w:rPr>
          <w:b/>
        </w:rPr>
      </w:pPr>
      <w:r>
        <w:rPr>
          <w:b/>
        </w:rPr>
        <w:t xml:space="preserve">Proposal </w:t>
      </w:r>
      <w:r w:rsidR="00015C96">
        <w:rPr>
          <w:b/>
        </w:rPr>
        <w:t>3</w:t>
      </w:r>
      <w:r>
        <w:rPr>
          <w:b/>
        </w:rPr>
        <w:t xml:space="preserve">: C-RNTI MAC CE is encoded into </w:t>
      </w:r>
      <w:proofErr w:type="spellStart"/>
      <w:r>
        <w:rPr>
          <w:b/>
        </w:rPr>
        <w:t>MsgA</w:t>
      </w:r>
      <w:proofErr w:type="spellEnd"/>
      <w:r>
        <w:rPr>
          <w:b/>
        </w:rPr>
        <w:t xml:space="preserve"> also for the 2-step CFRA.</w:t>
      </w:r>
    </w:p>
    <w:p w14:paraId="1018FE5C" w14:textId="579B2F7B" w:rsidR="00E913F2" w:rsidRDefault="00E913F2" w:rsidP="00E913F2">
      <w:pPr>
        <w:pStyle w:val="Heading2"/>
      </w:pPr>
      <w:r>
        <w:t>2.3</w:t>
      </w:r>
      <w:r>
        <w:tab/>
        <w:t>Applicability of RSRP threshold for 2-step CFRA</w:t>
      </w:r>
    </w:p>
    <w:p w14:paraId="77795B38" w14:textId="38F94717" w:rsidR="00E913F2" w:rsidRDefault="00E913F2" w:rsidP="00E913F2">
      <w:r>
        <w:t>In the previous RAN2#107 meeting, the following was agreed:</w:t>
      </w:r>
    </w:p>
    <w:p w14:paraId="3E5AEAC5" w14:textId="77777777" w:rsidR="00E913F2" w:rsidRPr="00E913F2" w:rsidRDefault="00E913F2" w:rsidP="00E913F2">
      <w:pPr>
        <w:pStyle w:val="Doc-text2"/>
        <w:pBdr>
          <w:top w:val="single" w:sz="4" w:space="1" w:color="auto"/>
          <w:left w:val="single" w:sz="4" w:space="4" w:color="auto"/>
          <w:bottom w:val="single" w:sz="4" w:space="1" w:color="auto"/>
          <w:right w:val="single" w:sz="4" w:space="4" w:color="auto"/>
        </w:pBdr>
        <w:shd w:val="clear" w:color="auto" w:fill="F2F2F2" w:themeFill="background1" w:themeFillShade="F2"/>
        <w:ind w:left="931"/>
        <w:rPr>
          <w:b/>
          <w:bCs/>
          <w:i/>
        </w:rPr>
      </w:pPr>
      <w:r w:rsidRPr="00E913F2">
        <w:rPr>
          <w:b/>
          <w:bCs/>
          <w:i/>
        </w:rPr>
        <w:t>Agreements</w:t>
      </w:r>
    </w:p>
    <w:p w14:paraId="40ED4F0C" w14:textId="77777777" w:rsidR="00E913F2" w:rsidRPr="00E913F2" w:rsidRDefault="00E913F2" w:rsidP="00E913F2">
      <w:pPr>
        <w:pStyle w:val="Doc-text2"/>
        <w:numPr>
          <w:ilvl w:val="0"/>
          <w:numId w:val="9"/>
        </w:numPr>
        <w:pBdr>
          <w:top w:val="single" w:sz="4" w:space="1" w:color="auto"/>
          <w:left w:val="single" w:sz="4" w:space="4" w:color="auto"/>
          <w:bottom w:val="single" w:sz="4" w:space="1" w:color="auto"/>
          <w:right w:val="single" w:sz="4" w:space="4" w:color="auto"/>
        </w:pBdr>
        <w:shd w:val="clear" w:color="auto" w:fill="F2F2F2" w:themeFill="background1" w:themeFillShade="F2"/>
        <w:ind w:left="928"/>
        <w:rPr>
          <w:i/>
        </w:rPr>
      </w:pPr>
      <w:r w:rsidRPr="00E913F2">
        <w:rPr>
          <w:i/>
        </w:rPr>
        <w:t xml:space="preserve">RA type selection is NOT left up to UE implementation.  </w:t>
      </w:r>
    </w:p>
    <w:p w14:paraId="6AFE6423" w14:textId="77777777" w:rsidR="00E913F2" w:rsidRPr="00E913F2" w:rsidRDefault="00E913F2" w:rsidP="00E913F2">
      <w:pPr>
        <w:pStyle w:val="Doc-text2"/>
        <w:numPr>
          <w:ilvl w:val="0"/>
          <w:numId w:val="9"/>
        </w:numPr>
        <w:pBdr>
          <w:top w:val="single" w:sz="4" w:space="1" w:color="auto"/>
          <w:left w:val="single" w:sz="4" w:space="4" w:color="auto"/>
          <w:bottom w:val="single" w:sz="4" w:space="1" w:color="auto"/>
          <w:right w:val="single" w:sz="4" w:space="4" w:color="auto"/>
        </w:pBdr>
        <w:shd w:val="clear" w:color="auto" w:fill="F2F2F2" w:themeFill="background1" w:themeFillShade="F2"/>
        <w:ind w:left="928"/>
        <w:rPr>
          <w:i/>
          <w:highlight w:val="yellow"/>
        </w:rPr>
      </w:pPr>
      <w:r w:rsidRPr="00E913F2">
        <w:rPr>
          <w:i/>
          <w:highlight w:val="yellow"/>
        </w:rPr>
        <w:t xml:space="preserve">If the UE is configured with 2-step RA, the RSRP is above a configurable threshold then the UE </w:t>
      </w:r>
      <w:r w:rsidRPr="00E913F2">
        <w:rPr>
          <w:b/>
          <w:bCs/>
          <w:i/>
          <w:iCs/>
          <w:highlight w:val="yellow"/>
        </w:rPr>
        <w:t>shall</w:t>
      </w:r>
      <w:r w:rsidRPr="00E913F2">
        <w:rPr>
          <w:i/>
          <w:highlight w:val="yellow"/>
        </w:rPr>
        <w:t xml:space="preserve"> use the 2-step RA procedure.  </w:t>
      </w:r>
    </w:p>
    <w:p w14:paraId="3C547851" w14:textId="77777777" w:rsidR="00E913F2" w:rsidRPr="00E913F2" w:rsidRDefault="00E913F2" w:rsidP="00E913F2">
      <w:pPr>
        <w:pStyle w:val="Doc-text2"/>
        <w:numPr>
          <w:ilvl w:val="0"/>
          <w:numId w:val="9"/>
        </w:numPr>
        <w:pBdr>
          <w:top w:val="single" w:sz="4" w:space="1" w:color="auto"/>
          <w:left w:val="single" w:sz="4" w:space="4" w:color="auto"/>
          <w:bottom w:val="single" w:sz="4" w:space="1" w:color="auto"/>
          <w:right w:val="single" w:sz="4" w:space="4" w:color="auto"/>
        </w:pBdr>
        <w:shd w:val="clear" w:color="auto" w:fill="F2F2F2" w:themeFill="background1" w:themeFillShade="F2"/>
        <w:ind w:left="928"/>
        <w:rPr>
          <w:i/>
        </w:rPr>
      </w:pPr>
      <w:r w:rsidRPr="00E913F2">
        <w:rPr>
          <w:i/>
        </w:rPr>
        <w:t>2-step RA type selection is done after carrier type selection (UL/SUL).  FFS if we have separate threshold for different carriers (UL/SUL)</w:t>
      </w:r>
    </w:p>
    <w:p w14:paraId="4E2909C8" w14:textId="0F98A0F5" w:rsidR="00E913F2" w:rsidRDefault="00E913F2" w:rsidP="00E913F2"/>
    <w:p w14:paraId="6D638F33" w14:textId="0887363E" w:rsidR="00E913F2" w:rsidRDefault="007C58F6" w:rsidP="00E913F2">
      <w:r>
        <w:t>Furthermore, RAN1#98 agreed the following:</w:t>
      </w:r>
    </w:p>
    <w:tbl>
      <w:tblPr>
        <w:tblStyle w:val="TableGrid"/>
        <w:tblW w:w="9321" w:type="dxa"/>
        <w:tblInd w:w="455" w:type="dxa"/>
        <w:tblLook w:val="04A0" w:firstRow="1" w:lastRow="0" w:firstColumn="1" w:lastColumn="0" w:noHBand="0" w:noVBand="1"/>
      </w:tblPr>
      <w:tblGrid>
        <w:gridCol w:w="9321"/>
      </w:tblGrid>
      <w:tr w:rsidR="0097519D" w14:paraId="3C3AA7AF" w14:textId="77777777" w:rsidTr="0097519D">
        <w:tc>
          <w:tcPr>
            <w:tcW w:w="9321" w:type="dxa"/>
            <w:shd w:val="clear" w:color="auto" w:fill="F2F2F2" w:themeFill="background1" w:themeFillShade="F2"/>
          </w:tcPr>
          <w:p w14:paraId="274A8AEE" w14:textId="77777777" w:rsidR="0097519D" w:rsidRPr="0097519D" w:rsidRDefault="0097519D" w:rsidP="0097519D">
            <w:pPr>
              <w:spacing w:after="0"/>
              <w:rPr>
                <w:rFonts w:ascii="Times" w:eastAsia="Batang" w:hAnsi="Times"/>
                <w:i/>
                <w:lang w:eastAsia="x-none"/>
              </w:rPr>
            </w:pPr>
            <w:r w:rsidRPr="0097519D">
              <w:rPr>
                <w:rFonts w:ascii="Times" w:eastAsia="Batang" w:hAnsi="Times"/>
                <w:i/>
                <w:highlight w:val="green"/>
                <w:lang w:eastAsia="x-none"/>
              </w:rPr>
              <w:t>Agreements</w:t>
            </w:r>
            <w:r w:rsidRPr="0097519D">
              <w:rPr>
                <w:rFonts w:ascii="Times" w:eastAsia="Batang" w:hAnsi="Times"/>
                <w:i/>
                <w:lang w:eastAsia="x-none"/>
              </w:rPr>
              <w:t>:</w:t>
            </w:r>
          </w:p>
          <w:p w14:paraId="71C09763" w14:textId="77777777" w:rsidR="0097519D" w:rsidRPr="0097519D" w:rsidRDefault="0097519D" w:rsidP="0097519D">
            <w:pPr>
              <w:numPr>
                <w:ilvl w:val="0"/>
                <w:numId w:val="10"/>
              </w:numPr>
              <w:overflowPunct w:val="0"/>
              <w:autoSpaceDE w:val="0"/>
              <w:autoSpaceDN w:val="0"/>
              <w:adjustRightInd w:val="0"/>
              <w:spacing w:after="0"/>
              <w:contextualSpacing/>
              <w:jc w:val="both"/>
              <w:textAlignment w:val="baseline"/>
              <w:rPr>
                <w:rFonts w:ascii="Times" w:eastAsia="Batang" w:hAnsi="Times"/>
                <w:i/>
                <w:highlight w:val="yellow"/>
                <w:lang w:val="en-US" w:eastAsia="x-none"/>
              </w:rPr>
            </w:pPr>
            <w:r w:rsidRPr="0097519D">
              <w:rPr>
                <w:rFonts w:ascii="Calibri" w:eastAsia="Batang" w:hAnsi="Calibri" w:cs="Calibri"/>
                <w:i/>
                <w:highlight w:val="yellow"/>
                <w:lang w:val="en-US" w:eastAsia="x-none"/>
              </w:rPr>
              <w:t xml:space="preserve">Any performance difference of 2-step and 4-step preambles (e.g. probability of missed-detection) is influenced by parameters some of which are under the control of the network (which the </w:t>
            </w:r>
            <w:proofErr w:type="spellStart"/>
            <w:r w:rsidRPr="0097519D">
              <w:rPr>
                <w:rFonts w:ascii="Calibri" w:eastAsia="Batang" w:hAnsi="Calibri" w:cs="Calibri"/>
                <w:i/>
                <w:highlight w:val="yellow"/>
                <w:lang w:val="en-US" w:eastAsia="x-none"/>
              </w:rPr>
              <w:t>gNB</w:t>
            </w:r>
            <w:proofErr w:type="spellEnd"/>
            <w:r w:rsidRPr="0097519D">
              <w:rPr>
                <w:rFonts w:ascii="Calibri" w:eastAsia="Batang" w:hAnsi="Calibri" w:cs="Calibri"/>
                <w:i/>
                <w:highlight w:val="yellow"/>
                <w:lang w:val="en-US" w:eastAsia="x-none"/>
              </w:rPr>
              <w:t xml:space="preserve"> has the flexibility to make the same or different) such as the preamble format (if supported and allowed to be configured differently), number of configured preambles (pool size), number of users attempting random access (traffic loads) and when applicable, power control parameters (such as </w:t>
            </w:r>
            <w:proofErr w:type="spellStart"/>
            <w:r w:rsidRPr="0097519D">
              <w:rPr>
                <w:rFonts w:ascii="Calibri" w:eastAsia="Batang" w:hAnsi="Calibri" w:cs="Calibri"/>
                <w:i/>
                <w:highlight w:val="yellow"/>
                <w:lang w:val="en-US" w:eastAsia="x-none"/>
              </w:rPr>
              <w:t>preambleReceivedTargetPower</w:t>
            </w:r>
            <w:proofErr w:type="spellEnd"/>
            <w:r w:rsidRPr="0097519D">
              <w:rPr>
                <w:rFonts w:ascii="Calibri" w:eastAsia="Batang" w:hAnsi="Calibri" w:cs="Calibri"/>
                <w:i/>
                <w:highlight w:val="yellow"/>
                <w:lang w:val="en-US" w:eastAsia="x-none"/>
              </w:rPr>
              <w:t xml:space="preserve"> and </w:t>
            </w:r>
            <w:proofErr w:type="spellStart"/>
            <w:r w:rsidRPr="0097519D">
              <w:rPr>
                <w:rFonts w:ascii="Calibri" w:eastAsia="Batang" w:hAnsi="Calibri" w:cs="Calibri"/>
                <w:i/>
                <w:highlight w:val="yellow"/>
                <w:lang w:val="en-US" w:eastAsia="x-none"/>
              </w:rPr>
              <w:t>powerRampingStep</w:t>
            </w:r>
            <w:proofErr w:type="spellEnd"/>
            <w:r w:rsidRPr="0097519D">
              <w:rPr>
                <w:rFonts w:ascii="Calibri" w:eastAsia="Batang" w:hAnsi="Calibri" w:cs="Calibri"/>
                <w:i/>
                <w:highlight w:val="yellow"/>
                <w:lang w:val="en-US" w:eastAsia="x-none"/>
              </w:rPr>
              <w:t>).</w:t>
            </w:r>
          </w:p>
          <w:p w14:paraId="047CA362" w14:textId="77777777" w:rsidR="0097519D" w:rsidRPr="0097519D" w:rsidRDefault="0097519D" w:rsidP="0097519D">
            <w:pPr>
              <w:numPr>
                <w:ilvl w:val="1"/>
                <w:numId w:val="10"/>
              </w:numPr>
              <w:overflowPunct w:val="0"/>
              <w:autoSpaceDE w:val="0"/>
              <w:autoSpaceDN w:val="0"/>
              <w:adjustRightInd w:val="0"/>
              <w:spacing w:after="0"/>
              <w:contextualSpacing/>
              <w:jc w:val="both"/>
              <w:textAlignment w:val="baseline"/>
              <w:rPr>
                <w:rFonts w:ascii="Calibri" w:eastAsia="Batang" w:hAnsi="Calibri" w:cs="Calibri"/>
                <w:i/>
                <w:lang w:val="en-US" w:eastAsia="x-none"/>
              </w:rPr>
            </w:pPr>
            <w:r w:rsidRPr="0097519D">
              <w:rPr>
                <w:rFonts w:ascii="Times" w:eastAsia="Batang" w:hAnsi="Times"/>
                <w:i/>
                <w:lang w:val="en-US" w:eastAsia="x-none"/>
              </w:rPr>
              <w:t>T</w:t>
            </w:r>
            <w:r w:rsidRPr="0097519D">
              <w:rPr>
                <w:rFonts w:ascii="Calibri" w:eastAsia="Batang" w:hAnsi="Calibri" w:cs="Calibri"/>
                <w:i/>
                <w:lang w:val="en-US" w:eastAsia="x-none"/>
              </w:rPr>
              <w:t>his applies to shared ROs and separately configured ROs.</w:t>
            </w:r>
          </w:p>
          <w:p w14:paraId="3C94A82A" w14:textId="77777777" w:rsidR="0097519D" w:rsidRPr="0097519D" w:rsidRDefault="0097519D" w:rsidP="0097519D">
            <w:pPr>
              <w:numPr>
                <w:ilvl w:val="0"/>
                <w:numId w:val="10"/>
              </w:numPr>
              <w:overflowPunct w:val="0"/>
              <w:autoSpaceDE w:val="0"/>
              <w:autoSpaceDN w:val="0"/>
              <w:adjustRightInd w:val="0"/>
              <w:spacing w:after="0"/>
              <w:contextualSpacing/>
              <w:jc w:val="both"/>
              <w:textAlignment w:val="baseline"/>
              <w:rPr>
                <w:rFonts w:ascii="Calibri" w:eastAsia="Batang" w:hAnsi="Calibri" w:cs="Calibri"/>
                <w:i/>
                <w:lang w:val="en-US" w:eastAsia="x-none"/>
              </w:rPr>
            </w:pPr>
            <w:r w:rsidRPr="0097519D">
              <w:rPr>
                <w:rFonts w:ascii="Calibri" w:eastAsia="Batang" w:hAnsi="Calibri" w:cs="Calibri"/>
                <w:i/>
                <w:lang w:val="en-US" w:eastAsia="x-none"/>
              </w:rPr>
              <w:t xml:space="preserve">Switching to 4-step RACH doesn’t just depend on </w:t>
            </w:r>
            <w:proofErr w:type="spellStart"/>
            <w:r w:rsidRPr="0097519D">
              <w:rPr>
                <w:rFonts w:ascii="Calibri" w:eastAsia="Batang" w:hAnsi="Calibri" w:cs="Calibri"/>
                <w:i/>
                <w:lang w:val="en-US" w:eastAsia="x-none"/>
              </w:rPr>
              <w:t>MsgA</w:t>
            </w:r>
            <w:proofErr w:type="spellEnd"/>
            <w:r w:rsidRPr="0097519D">
              <w:rPr>
                <w:rFonts w:ascii="Calibri" w:eastAsia="Batang" w:hAnsi="Calibri" w:cs="Calibri"/>
                <w:i/>
                <w:lang w:val="en-US" w:eastAsia="x-none"/>
              </w:rPr>
              <w:t xml:space="preserve"> PRACH performance, but on the impact of </w:t>
            </w:r>
            <w:proofErr w:type="spellStart"/>
            <w:r w:rsidRPr="0097519D">
              <w:rPr>
                <w:rFonts w:ascii="Calibri" w:eastAsia="Batang" w:hAnsi="Calibri" w:cs="Calibri"/>
                <w:i/>
                <w:lang w:val="en-US" w:eastAsia="x-none"/>
              </w:rPr>
              <w:t>MsgA</w:t>
            </w:r>
            <w:proofErr w:type="spellEnd"/>
            <w:r w:rsidRPr="0097519D">
              <w:rPr>
                <w:rFonts w:ascii="Calibri" w:eastAsia="Batang" w:hAnsi="Calibri" w:cs="Calibri"/>
                <w:i/>
                <w:lang w:val="en-US" w:eastAsia="x-none"/>
              </w:rPr>
              <w:t xml:space="preserve"> PUSCH on performance as well.</w:t>
            </w:r>
          </w:p>
          <w:p w14:paraId="2E042AA0" w14:textId="77777777" w:rsidR="0097519D" w:rsidRPr="0097519D" w:rsidRDefault="0097519D" w:rsidP="0097519D">
            <w:pPr>
              <w:numPr>
                <w:ilvl w:val="0"/>
                <w:numId w:val="10"/>
              </w:numPr>
              <w:overflowPunct w:val="0"/>
              <w:autoSpaceDE w:val="0"/>
              <w:autoSpaceDN w:val="0"/>
              <w:adjustRightInd w:val="0"/>
              <w:spacing w:after="0"/>
              <w:contextualSpacing/>
              <w:jc w:val="both"/>
              <w:textAlignment w:val="baseline"/>
              <w:rPr>
                <w:rFonts w:ascii="Calibri" w:eastAsia="Batang" w:hAnsi="Calibri" w:cs="Calibri"/>
                <w:i/>
                <w:highlight w:val="yellow"/>
                <w:lang w:val="en-US" w:eastAsia="x-none"/>
              </w:rPr>
            </w:pPr>
            <w:r w:rsidRPr="0097519D">
              <w:rPr>
                <w:rFonts w:ascii="Calibri" w:eastAsia="Batang" w:hAnsi="Calibri" w:cs="Calibri"/>
                <w:i/>
                <w:highlight w:val="yellow"/>
                <w:lang w:val="en-US" w:eastAsia="x-none"/>
              </w:rPr>
              <w:t>Based on the above points, the preamble performance of 2-step RACH and 4-step can be different.</w:t>
            </w:r>
          </w:p>
          <w:p w14:paraId="53429428" w14:textId="56845428" w:rsidR="0097519D" w:rsidRPr="0097519D" w:rsidRDefault="0097519D" w:rsidP="00E913F2">
            <w:pPr>
              <w:numPr>
                <w:ilvl w:val="0"/>
                <w:numId w:val="10"/>
              </w:numPr>
              <w:overflowPunct w:val="0"/>
              <w:autoSpaceDE w:val="0"/>
              <w:autoSpaceDN w:val="0"/>
              <w:adjustRightInd w:val="0"/>
              <w:spacing w:after="0"/>
              <w:contextualSpacing/>
              <w:jc w:val="both"/>
              <w:textAlignment w:val="baseline"/>
              <w:rPr>
                <w:rFonts w:ascii="Calibri" w:eastAsia="Batang" w:hAnsi="Calibri" w:cs="Calibri"/>
                <w:lang w:val="en-US" w:eastAsia="x-none"/>
              </w:rPr>
            </w:pPr>
            <w:r w:rsidRPr="0097519D">
              <w:rPr>
                <w:rFonts w:ascii="Calibri" w:eastAsia="Batang" w:hAnsi="Calibri" w:cs="Calibri"/>
                <w:i/>
                <w:lang w:val="en-US" w:eastAsia="x-none"/>
              </w:rPr>
              <w:t>RAN1 views that it can be beneficial to allow UE to switch to 4-step RACH.</w:t>
            </w:r>
          </w:p>
        </w:tc>
      </w:tr>
    </w:tbl>
    <w:p w14:paraId="4638933C" w14:textId="3F92FAFC" w:rsidR="007C58F6" w:rsidRDefault="007C58F6" w:rsidP="00E913F2"/>
    <w:p w14:paraId="04B37888" w14:textId="7E44BEF3" w:rsidR="0097519D" w:rsidRDefault="0097519D" w:rsidP="00E913F2">
      <w:r>
        <w:t xml:space="preserve">In case the preamble performance of 2-step RACH and 4-step RACH is different, it seems natural to apply the RSRP threshold for 2-step CFRA selection as well given it can be unlikely even the preamble part of the </w:t>
      </w:r>
      <w:proofErr w:type="spellStart"/>
      <w:r>
        <w:t>MsgA</w:t>
      </w:r>
      <w:proofErr w:type="spellEnd"/>
      <w:r>
        <w:t xml:space="preserve"> would not go through. On the other hand, in case the preamble performance of 2-step RACH and 4-step RACH is comparable (e.g., the same preamble format or shared RO), applying the RSRP threshold in selecting the 2-step CFRA could waste the dedicated resources in vain. If even the preamble part of the </w:t>
      </w:r>
      <w:proofErr w:type="spellStart"/>
      <w:r>
        <w:t>MsgA</w:t>
      </w:r>
      <w:proofErr w:type="spellEnd"/>
      <w:r>
        <w:t xml:space="preserve"> is successfully decoded by the NW, the CFRA can be successful by NW scheduling with UE’s C-RNTI a re-</w:t>
      </w:r>
      <w:proofErr w:type="spellStart"/>
      <w:r>
        <w:t>tx</w:t>
      </w:r>
      <w:proofErr w:type="spellEnd"/>
      <w:r>
        <w:t xml:space="preserve"> grant for the </w:t>
      </w:r>
      <w:proofErr w:type="spellStart"/>
      <w:r>
        <w:t>MsgA</w:t>
      </w:r>
      <w:proofErr w:type="spellEnd"/>
      <w:r>
        <w:t xml:space="preserve"> PUSCH part. NW could configure </w:t>
      </w:r>
      <w:r>
        <w:lastRenderedPageBreak/>
        <w:t>along with the CFRA resource configuration whether the RSRP threshold shall be applied for the 2-step CFRA selection or not.</w:t>
      </w:r>
    </w:p>
    <w:p w14:paraId="63FC31E3" w14:textId="5432FE0F" w:rsidR="0097519D" w:rsidRPr="0097519D" w:rsidRDefault="0097519D" w:rsidP="00E913F2">
      <w:pPr>
        <w:rPr>
          <w:b/>
        </w:rPr>
      </w:pPr>
      <w:r>
        <w:rPr>
          <w:b/>
        </w:rPr>
        <w:t xml:space="preserve">Proposal </w:t>
      </w:r>
      <w:r w:rsidR="00015C96">
        <w:rPr>
          <w:b/>
        </w:rPr>
        <w:t>4</w:t>
      </w:r>
      <w:r>
        <w:rPr>
          <w:b/>
        </w:rPr>
        <w:t>: NW can configure UE if the RSRP threshold shall be applied for the 2-step CFRA selection or whether the UE can use the 2-step CFRA resources even in case 4-step RA is selected.</w:t>
      </w:r>
    </w:p>
    <w:p w14:paraId="7E9A7DD9" w14:textId="3B11CEA7" w:rsidR="00E913F2" w:rsidRDefault="00015309" w:rsidP="00A209D6">
      <w:r>
        <w:t>In case the UE can use 2-step CFRA resources regardless of the RA type selected, the CBRA fallback (if required) should follow the selected RA type.</w:t>
      </w:r>
    </w:p>
    <w:p w14:paraId="3531AE57" w14:textId="6FE236AD" w:rsidR="00015309" w:rsidRPr="00015309" w:rsidRDefault="00015309" w:rsidP="00A209D6">
      <w:pPr>
        <w:rPr>
          <w:b/>
        </w:rPr>
      </w:pPr>
      <w:r>
        <w:rPr>
          <w:b/>
        </w:rPr>
        <w:t xml:space="preserve">Proposal </w:t>
      </w:r>
      <w:r w:rsidR="00015C96">
        <w:rPr>
          <w:b/>
        </w:rPr>
        <w:t>5</w:t>
      </w:r>
      <w:r>
        <w:rPr>
          <w:b/>
        </w:rPr>
        <w:t>: The CBRA (for the fallback) follows the selected RA type in case the UE can use 2-step CFRA resources regardless of the RA type selected.</w:t>
      </w:r>
    </w:p>
    <w:p w14:paraId="280FF135" w14:textId="3B2A33D6" w:rsidR="00015309" w:rsidRDefault="00015309" w:rsidP="00015309">
      <w:pPr>
        <w:pStyle w:val="Heading2"/>
      </w:pPr>
      <w:r>
        <w:t>2.4</w:t>
      </w:r>
      <w:r>
        <w:tab/>
        <w:t>Completion of RA procedure</w:t>
      </w:r>
    </w:p>
    <w:p w14:paraId="5D135954" w14:textId="67E4F2EF" w:rsidR="00015309" w:rsidRDefault="00015309" w:rsidP="00015309">
      <w:r>
        <w:t xml:space="preserve">Given that the NW </w:t>
      </w:r>
      <w:proofErr w:type="gramStart"/>
      <w:r>
        <w:t>is able to</w:t>
      </w:r>
      <w:proofErr w:type="gramEnd"/>
      <w:r>
        <w:t xml:space="preserve"> identify the UE from the preamble part of CFRA </w:t>
      </w:r>
      <w:proofErr w:type="spellStart"/>
      <w:r>
        <w:t>MsgA</w:t>
      </w:r>
      <w:proofErr w:type="spellEnd"/>
      <w:r>
        <w:t xml:space="preserve"> only, the RA procedure could be completed without the successful reception of the </w:t>
      </w:r>
      <w:proofErr w:type="spellStart"/>
      <w:r>
        <w:t>MsgA</w:t>
      </w:r>
      <w:proofErr w:type="spellEnd"/>
      <w:r>
        <w:t xml:space="preserve"> PUSCH part by the NW.</w:t>
      </w:r>
      <w:r w:rsidR="00C812DD">
        <w:t xml:space="preserve"> The NW could provide a DL assignment with 12-bit TAC MAC CE included in which case the UE could determine the RA procedure as successfully completed.</w:t>
      </w:r>
      <w:r>
        <w:t xml:space="preserve"> </w:t>
      </w:r>
      <w:r w:rsidR="00C812DD">
        <w:t xml:space="preserve">On the other hand, in case the NW did not provide UE with 12-bit TAC MAC CE and as the UL timing information is not yet available to the UE in such case, the UE cannot re-transmit the </w:t>
      </w:r>
      <w:proofErr w:type="spellStart"/>
      <w:r w:rsidR="00C812DD">
        <w:t>MsgA</w:t>
      </w:r>
      <w:proofErr w:type="spellEnd"/>
      <w:r w:rsidR="00C812DD">
        <w:t xml:space="preserve"> PUSCH payload in case NW provided a re-</w:t>
      </w:r>
      <w:proofErr w:type="spellStart"/>
      <w:r w:rsidR="00C812DD">
        <w:t>tx</w:t>
      </w:r>
      <w:proofErr w:type="spellEnd"/>
      <w:r w:rsidR="00C812DD">
        <w:t xml:space="preserve"> UL grant. This raises a question whether </w:t>
      </w:r>
      <w:proofErr w:type="spellStart"/>
      <w:r w:rsidR="00C812DD">
        <w:t>fallbackRAR</w:t>
      </w:r>
      <w:proofErr w:type="spellEnd"/>
      <w:r w:rsidR="00C812DD">
        <w:t xml:space="preserve"> should be supported also in the case of 2-step CFRA where NW could schedule the Msg3 grant with timing information as received from the preamble</w:t>
      </w:r>
      <w:r w:rsidR="00864ACC">
        <w:t xml:space="preserve"> part of </w:t>
      </w:r>
      <w:proofErr w:type="spellStart"/>
      <w:r w:rsidR="00864ACC">
        <w:t>MsgA</w:t>
      </w:r>
      <w:proofErr w:type="spellEnd"/>
      <w:r w:rsidR="00C812DD">
        <w:t xml:space="preserve">. It seems such option should be given to the NW. Furthermore, as the NW has identified the UE already from the preamble part, receiving the </w:t>
      </w:r>
      <w:proofErr w:type="spellStart"/>
      <w:r w:rsidR="00C812DD">
        <w:t>fallbackRAR</w:t>
      </w:r>
      <w:proofErr w:type="spellEnd"/>
      <w:r w:rsidR="00C812DD">
        <w:t xml:space="preserve"> via </w:t>
      </w:r>
      <w:proofErr w:type="spellStart"/>
      <w:r w:rsidR="00C812DD">
        <w:t>MsgB</w:t>
      </w:r>
      <w:proofErr w:type="spellEnd"/>
      <w:r w:rsidR="00C812DD">
        <w:t xml:space="preserve"> in this case by the UE should also complete the RA procedure.</w:t>
      </w:r>
    </w:p>
    <w:p w14:paraId="3561F32F" w14:textId="5F68F6AE" w:rsidR="00C812DD" w:rsidRPr="00C812DD" w:rsidRDefault="00C812DD" w:rsidP="00015309">
      <w:pPr>
        <w:rPr>
          <w:b/>
        </w:rPr>
      </w:pPr>
      <w:r>
        <w:rPr>
          <w:b/>
        </w:rPr>
        <w:t xml:space="preserve">Proposal </w:t>
      </w:r>
      <w:r w:rsidR="00015C96">
        <w:rPr>
          <w:b/>
        </w:rPr>
        <w:t>6</w:t>
      </w:r>
      <w:r>
        <w:rPr>
          <w:b/>
        </w:rPr>
        <w:t xml:space="preserve">: 2-step CFRA is completed either by receiving 12-bit TAC MAC CE </w:t>
      </w:r>
      <w:r w:rsidR="008F6247">
        <w:rPr>
          <w:b/>
        </w:rPr>
        <w:t xml:space="preserve">in a DL assignment </w:t>
      </w:r>
      <w:r>
        <w:rPr>
          <w:b/>
        </w:rPr>
        <w:t xml:space="preserve">or based on the </w:t>
      </w:r>
      <w:proofErr w:type="spellStart"/>
      <w:r>
        <w:rPr>
          <w:b/>
        </w:rPr>
        <w:t>fallbackRAR</w:t>
      </w:r>
      <w:proofErr w:type="spellEnd"/>
      <w:r>
        <w:rPr>
          <w:b/>
        </w:rPr>
        <w:t xml:space="preserve"> received in </w:t>
      </w:r>
      <w:proofErr w:type="spellStart"/>
      <w:r>
        <w:rPr>
          <w:b/>
        </w:rPr>
        <w:t>MsgB</w:t>
      </w:r>
      <w:proofErr w:type="spellEnd"/>
      <w:r>
        <w:rPr>
          <w:b/>
        </w:rPr>
        <w:t>.</w:t>
      </w:r>
    </w:p>
    <w:p w14:paraId="5FF2457F" w14:textId="7A93B857" w:rsidR="00A209D6" w:rsidRPr="006E13D1" w:rsidRDefault="00C812DD" w:rsidP="00A209D6">
      <w:pPr>
        <w:pStyle w:val="Heading1"/>
      </w:pPr>
      <w:r>
        <w:t>3</w:t>
      </w:r>
      <w:r w:rsidR="00A209D6" w:rsidRPr="006E13D1">
        <w:tab/>
      </w:r>
      <w:r w:rsidR="008C3057">
        <w:t>Conclusion</w:t>
      </w:r>
    </w:p>
    <w:p w14:paraId="6C60FFDC" w14:textId="7A1942F3" w:rsidR="00A209D6" w:rsidRDefault="00C812DD" w:rsidP="00A209D6">
      <w:r>
        <w:t>In this contribution, the 2-step CFRA procedure related aspects were discussed and the following was proposed:</w:t>
      </w:r>
    </w:p>
    <w:p w14:paraId="5D356B58" w14:textId="77777777" w:rsidR="00C812DD" w:rsidRPr="00641F6C" w:rsidRDefault="00C812DD" w:rsidP="00C812DD">
      <w:pPr>
        <w:rPr>
          <w:b/>
        </w:rPr>
      </w:pPr>
      <w:r>
        <w:rPr>
          <w:b/>
        </w:rPr>
        <w:t xml:space="preserve">Proposal 1: </w:t>
      </w:r>
      <w:proofErr w:type="gramStart"/>
      <w:r>
        <w:rPr>
          <w:b/>
        </w:rPr>
        <w:t>Similarly</w:t>
      </w:r>
      <w:proofErr w:type="gramEnd"/>
      <w:r>
        <w:rPr>
          <w:b/>
        </w:rPr>
        <w:t xml:space="preserve"> to Rel-15, fallback from 2-step CFRA to CBRA is supported in case no beam with 2-step CFRA resource is available.</w:t>
      </w:r>
    </w:p>
    <w:p w14:paraId="10298E53" w14:textId="77777777" w:rsidR="00015C96" w:rsidRDefault="00015C96" w:rsidP="00015C96">
      <w:pPr>
        <w:rPr>
          <w:b/>
        </w:rPr>
      </w:pPr>
      <w:r>
        <w:rPr>
          <w:b/>
        </w:rPr>
        <w:t>Proposal 2: No rebuilding is supported in the specification for the case of CFRA to CBRA switch in 2-step RACH.</w:t>
      </w:r>
    </w:p>
    <w:p w14:paraId="6563FA7D" w14:textId="347B7473" w:rsidR="00C812DD" w:rsidRPr="00E913F2" w:rsidRDefault="00C812DD" w:rsidP="00C812DD">
      <w:pPr>
        <w:rPr>
          <w:b/>
        </w:rPr>
      </w:pPr>
      <w:r>
        <w:rPr>
          <w:b/>
        </w:rPr>
        <w:t xml:space="preserve">Proposal </w:t>
      </w:r>
      <w:r w:rsidR="00015C96">
        <w:rPr>
          <w:b/>
        </w:rPr>
        <w:t>3</w:t>
      </w:r>
      <w:r>
        <w:rPr>
          <w:b/>
        </w:rPr>
        <w:t xml:space="preserve">: C-RNTI MAC CE is encoded into </w:t>
      </w:r>
      <w:proofErr w:type="spellStart"/>
      <w:r>
        <w:rPr>
          <w:b/>
        </w:rPr>
        <w:t>MsgA</w:t>
      </w:r>
      <w:proofErr w:type="spellEnd"/>
      <w:r>
        <w:rPr>
          <w:b/>
        </w:rPr>
        <w:t xml:space="preserve"> also for the 2-step CFRA.</w:t>
      </w:r>
    </w:p>
    <w:p w14:paraId="478D805A" w14:textId="1274BAF4" w:rsidR="00C812DD" w:rsidRPr="0097519D" w:rsidRDefault="00C812DD" w:rsidP="00C812DD">
      <w:pPr>
        <w:rPr>
          <w:b/>
        </w:rPr>
      </w:pPr>
      <w:r>
        <w:rPr>
          <w:b/>
        </w:rPr>
        <w:t xml:space="preserve">Proposal </w:t>
      </w:r>
      <w:r w:rsidR="00015C96">
        <w:rPr>
          <w:b/>
        </w:rPr>
        <w:t>4</w:t>
      </w:r>
      <w:r>
        <w:rPr>
          <w:b/>
        </w:rPr>
        <w:t>: NW can configure UE if the RSRP threshold shall be applied for the 2-step CFRA selection or whether the UE can use the 2-step CFRA resources even in case 4-step RA is selected.</w:t>
      </w:r>
    </w:p>
    <w:p w14:paraId="1A81C89A" w14:textId="3BE1DBC3" w:rsidR="00C812DD" w:rsidRPr="00015309" w:rsidRDefault="00C812DD" w:rsidP="00C812DD">
      <w:pPr>
        <w:rPr>
          <w:b/>
        </w:rPr>
      </w:pPr>
      <w:r>
        <w:rPr>
          <w:b/>
        </w:rPr>
        <w:t xml:space="preserve">Proposal </w:t>
      </w:r>
      <w:r w:rsidR="00015C96">
        <w:rPr>
          <w:b/>
        </w:rPr>
        <w:t>5</w:t>
      </w:r>
      <w:r>
        <w:rPr>
          <w:b/>
        </w:rPr>
        <w:t>: The CBRA (for the fallback) follows the selected RA type in case the UE can use 2-step CFRA resources regardless of the RA type selected.</w:t>
      </w:r>
    </w:p>
    <w:p w14:paraId="7FF96F7E" w14:textId="5FCEE581" w:rsidR="00C812DD" w:rsidRPr="00C812DD" w:rsidRDefault="00C812DD" w:rsidP="00C812DD">
      <w:pPr>
        <w:rPr>
          <w:b/>
        </w:rPr>
      </w:pPr>
      <w:r>
        <w:rPr>
          <w:b/>
        </w:rPr>
        <w:t xml:space="preserve">Proposal </w:t>
      </w:r>
      <w:r w:rsidR="00015C96">
        <w:rPr>
          <w:b/>
        </w:rPr>
        <w:t>6</w:t>
      </w:r>
      <w:r>
        <w:rPr>
          <w:b/>
        </w:rPr>
        <w:t xml:space="preserve">: 2-step CFRA is completed either by receiving 12-bit TAC MAC CE </w:t>
      </w:r>
      <w:r w:rsidR="008F6247">
        <w:rPr>
          <w:b/>
        </w:rPr>
        <w:t xml:space="preserve">in a DL assignment </w:t>
      </w:r>
      <w:r>
        <w:rPr>
          <w:b/>
        </w:rPr>
        <w:t xml:space="preserve">or based on the </w:t>
      </w:r>
      <w:proofErr w:type="spellStart"/>
      <w:r>
        <w:rPr>
          <w:b/>
        </w:rPr>
        <w:t>fallbackRAR</w:t>
      </w:r>
      <w:proofErr w:type="spellEnd"/>
      <w:r>
        <w:rPr>
          <w:b/>
        </w:rPr>
        <w:t xml:space="preserve"> received in </w:t>
      </w:r>
      <w:proofErr w:type="spellStart"/>
      <w:r>
        <w:rPr>
          <w:b/>
        </w:rPr>
        <w:t>MsgB</w:t>
      </w:r>
      <w:proofErr w:type="spellEnd"/>
      <w:r>
        <w:rPr>
          <w:b/>
        </w:rPr>
        <w:t>.</w:t>
      </w:r>
    </w:p>
    <w:p w14:paraId="362A550C" w14:textId="77777777" w:rsidR="00C812DD" w:rsidRPr="006E13D1" w:rsidRDefault="00C812DD" w:rsidP="00A209D6"/>
    <w:p w14:paraId="60449C3F" w14:textId="77777777" w:rsidR="00A209D6" w:rsidRPr="006E13D1" w:rsidRDefault="00A209D6" w:rsidP="00A209D6"/>
    <w:p w14:paraId="432B0A82" w14:textId="77777777" w:rsidR="00A209D6" w:rsidRDefault="00A209D6" w:rsidP="00A209D6"/>
    <w:p w14:paraId="653EED19" w14:textId="77777777" w:rsidR="00A209D6" w:rsidRPr="00CD4C7B" w:rsidRDefault="00A209D6" w:rsidP="00A209D6"/>
    <w:p w14:paraId="35F222F4" w14:textId="77777777" w:rsidR="00080512" w:rsidRPr="00A209D6" w:rsidRDefault="00080512" w:rsidP="00A209D6"/>
    <w:sectPr w:rsidR="00080512" w:rsidRPr="00A209D6">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55C5D2" w14:textId="77777777" w:rsidR="001C23F4" w:rsidRDefault="001C23F4">
      <w:r>
        <w:separator/>
      </w:r>
    </w:p>
  </w:endnote>
  <w:endnote w:type="continuationSeparator" w:id="0">
    <w:p w14:paraId="177D3B96" w14:textId="77777777" w:rsidR="001C23F4" w:rsidRDefault="001C23F4">
      <w:r>
        <w:continuationSeparator/>
      </w:r>
    </w:p>
  </w:endnote>
  <w:endnote w:type="continuationNotice" w:id="1">
    <w:p w14:paraId="25B85152" w14:textId="77777777" w:rsidR="007662B5" w:rsidRDefault="007662B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60AAA3" w14:textId="77777777" w:rsidR="001C23F4" w:rsidRDefault="001C23F4">
      <w:r>
        <w:separator/>
      </w:r>
    </w:p>
  </w:footnote>
  <w:footnote w:type="continuationSeparator" w:id="0">
    <w:p w14:paraId="14D2B5A8" w14:textId="77777777" w:rsidR="001C23F4" w:rsidRDefault="001C23F4">
      <w:r>
        <w:continuationSeparator/>
      </w:r>
    </w:p>
  </w:footnote>
  <w:footnote w:type="continuationNotice" w:id="1">
    <w:p w14:paraId="3A7FD104" w14:textId="77777777" w:rsidR="007662B5" w:rsidRDefault="007662B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1FF391F"/>
    <w:multiLevelType w:val="hybridMultilevel"/>
    <w:tmpl w:val="532C294E"/>
    <w:lvl w:ilvl="0" w:tplc="DAACB848">
      <w:start w:val="4"/>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3" w15:restartNumberingAfterBreak="0">
    <w:nsid w:val="068B4259"/>
    <w:multiLevelType w:val="hybridMultilevel"/>
    <w:tmpl w:val="41F60E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82414FF"/>
    <w:multiLevelType w:val="hybridMultilevel"/>
    <w:tmpl w:val="7B56015A"/>
    <w:lvl w:ilvl="0" w:tplc="D51C357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30FB5628"/>
    <w:multiLevelType w:val="multilevel"/>
    <w:tmpl w:val="30FB5628"/>
    <w:lvl w:ilvl="0">
      <w:start w:val="15"/>
      <w:numFmt w:val="bullet"/>
      <w:lvlText w:val="-"/>
      <w:lvlJc w:val="left"/>
      <w:pPr>
        <w:ind w:left="360" w:hanging="360"/>
      </w:pPr>
      <w:rPr>
        <w:rFonts w:ascii="Arial" w:eastAsia="Batang"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9"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7"/>
  </w:num>
  <w:num w:numId="5">
    <w:abstractNumId w:val="6"/>
  </w:num>
  <w:num w:numId="6">
    <w:abstractNumId w:val="8"/>
  </w:num>
  <w:num w:numId="7">
    <w:abstractNumId w:val="9"/>
  </w:num>
  <w:num w:numId="8">
    <w:abstractNumId w:val="5"/>
  </w:num>
  <w:num w:numId="9">
    <w:abstractNumId w:val="4"/>
  </w:num>
  <w:num w:numId="10">
    <w:abstractNumId w:val="3"/>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15309"/>
    <w:rsid w:val="00015C96"/>
    <w:rsid w:val="00016557"/>
    <w:rsid w:val="00023C40"/>
    <w:rsid w:val="00033397"/>
    <w:rsid w:val="00040095"/>
    <w:rsid w:val="00073C9C"/>
    <w:rsid w:val="00080512"/>
    <w:rsid w:val="00090468"/>
    <w:rsid w:val="00094568"/>
    <w:rsid w:val="000B7BCF"/>
    <w:rsid w:val="000C522B"/>
    <w:rsid w:val="000D58AB"/>
    <w:rsid w:val="00112F1A"/>
    <w:rsid w:val="00145075"/>
    <w:rsid w:val="0016572D"/>
    <w:rsid w:val="001741A0"/>
    <w:rsid w:val="00175FA0"/>
    <w:rsid w:val="00194CD0"/>
    <w:rsid w:val="001B49C9"/>
    <w:rsid w:val="001C23F4"/>
    <w:rsid w:val="001C4F79"/>
    <w:rsid w:val="001F168B"/>
    <w:rsid w:val="001F7831"/>
    <w:rsid w:val="00204045"/>
    <w:rsid w:val="0020712B"/>
    <w:rsid w:val="0022606D"/>
    <w:rsid w:val="00231728"/>
    <w:rsid w:val="00250404"/>
    <w:rsid w:val="002610D8"/>
    <w:rsid w:val="002747EC"/>
    <w:rsid w:val="002855BF"/>
    <w:rsid w:val="002F0D22"/>
    <w:rsid w:val="003172DC"/>
    <w:rsid w:val="00325AE3"/>
    <w:rsid w:val="00326069"/>
    <w:rsid w:val="0035462D"/>
    <w:rsid w:val="00364B41"/>
    <w:rsid w:val="00376617"/>
    <w:rsid w:val="00383096"/>
    <w:rsid w:val="003A41EF"/>
    <w:rsid w:val="003B40AD"/>
    <w:rsid w:val="003C4E37"/>
    <w:rsid w:val="003E16BE"/>
    <w:rsid w:val="003F4E28"/>
    <w:rsid w:val="004006E8"/>
    <w:rsid w:val="00401855"/>
    <w:rsid w:val="00465587"/>
    <w:rsid w:val="004670E5"/>
    <w:rsid w:val="00477455"/>
    <w:rsid w:val="004A1F7B"/>
    <w:rsid w:val="004C44D2"/>
    <w:rsid w:val="004C6D22"/>
    <w:rsid w:val="004D3578"/>
    <w:rsid w:val="004D380D"/>
    <w:rsid w:val="004E213A"/>
    <w:rsid w:val="00503171"/>
    <w:rsid w:val="00506C28"/>
    <w:rsid w:val="00534DA0"/>
    <w:rsid w:val="00543E6C"/>
    <w:rsid w:val="00565087"/>
    <w:rsid w:val="0056573F"/>
    <w:rsid w:val="00611566"/>
    <w:rsid w:val="00641F6C"/>
    <w:rsid w:val="00646D99"/>
    <w:rsid w:val="00656910"/>
    <w:rsid w:val="006574C0"/>
    <w:rsid w:val="006C66D8"/>
    <w:rsid w:val="006D1E24"/>
    <w:rsid w:val="006E1417"/>
    <w:rsid w:val="006F6A2C"/>
    <w:rsid w:val="007069DC"/>
    <w:rsid w:val="00710201"/>
    <w:rsid w:val="0072073A"/>
    <w:rsid w:val="007342B5"/>
    <w:rsid w:val="00734A5B"/>
    <w:rsid w:val="00744E76"/>
    <w:rsid w:val="00757D40"/>
    <w:rsid w:val="007662B5"/>
    <w:rsid w:val="00773AFE"/>
    <w:rsid w:val="00781F0F"/>
    <w:rsid w:val="0078727C"/>
    <w:rsid w:val="0079049D"/>
    <w:rsid w:val="00791079"/>
    <w:rsid w:val="00793DC5"/>
    <w:rsid w:val="007B18D8"/>
    <w:rsid w:val="007C095F"/>
    <w:rsid w:val="007C2DD0"/>
    <w:rsid w:val="007C58F6"/>
    <w:rsid w:val="007F2E08"/>
    <w:rsid w:val="008028A4"/>
    <w:rsid w:val="00813245"/>
    <w:rsid w:val="00840DE0"/>
    <w:rsid w:val="0086354A"/>
    <w:rsid w:val="00864ACC"/>
    <w:rsid w:val="008768CA"/>
    <w:rsid w:val="00877EF9"/>
    <w:rsid w:val="00880559"/>
    <w:rsid w:val="008B5306"/>
    <w:rsid w:val="008C3057"/>
    <w:rsid w:val="008D2E4D"/>
    <w:rsid w:val="008F396F"/>
    <w:rsid w:val="008F6247"/>
    <w:rsid w:val="0090271F"/>
    <w:rsid w:val="00902DB9"/>
    <w:rsid w:val="0090466A"/>
    <w:rsid w:val="00923655"/>
    <w:rsid w:val="00936071"/>
    <w:rsid w:val="00940212"/>
    <w:rsid w:val="00942EC2"/>
    <w:rsid w:val="00961B32"/>
    <w:rsid w:val="00962509"/>
    <w:rsid w:val="00970DB3"/>
    <w:rsid w:val="00974BB0"/>
    <w:rsid w:val="0097519D"/>
    <w:rsid w:val="00975BCD"/>
    <w:rsid w:val="009930E4"/>
    <w:rsid w:val="009A0AF3"/>
    <w:rsid w:val="009B07CD"/>
    <w:rsid w:val="009C19E9"/>
    <w:rsid w:val="009D74A6"/>
    <w:rsid w:val="00A10F02"/>
    <w:rsid w:val="00A204CA"/>
    <w:rsid w:val="00A209D6"/>
    <w:rsid w:val="00A53724"/>
    <w:rsid w:val="00A54B2B"/>
    <w:rsid w:val="00A82346"/>
    <w:rsid w:val="00A9671C"/>
    <w:rsid w:val="00AA1553"/>
    <w:rsid w:val="00B05380"/>
    <w:rsid w:val="00B05962"/>
    <w:rsid w:val="00B15449"/>
    <w:rsid w:val="00B16C2F"/>
    <w:rsid w:val="00B23F30"/>
    <w:rsid w:val="00B27303"/>
    <w:rsid w:val="00B47FD1"/>
    <w:rsid w:val="00B516BB"/>
    <w:rsid w:val="00B84DB2"/>
    <w:rsid w:val="00BC3555"/>
    <w:rsid w:val="00C12B51"/>
    <w:rsid w:val="00C24650"/>
    <w:rsid w:val="00C25465"/>
    <w:rsid w:val="00C33079"/>
    <w:rsid w:val="00C812DD"/>
    <w:rsid w:val="00C83A13"/>
    <w:rsid w:val="00C9068C"/>
    <w:rsid w:val="00C92967"/>
    <w:rsid w:val="00CA3D0C"/>
    <w:rsid w:val="00CA654B"/>
    <w:rsid w:val="00CB2FC3"/>
    <w:rsid w:val="00CB72B8"/>
    <w:rsid w:val="00CD4C7B"/>
    <w:rsid w:val="00D33BE3"/>
    <w:rsid w:val="00D3792D"/>
    <w:rsid w:val="00D53569"/>
    <w:rsid w:val="00D55E47"/>
    <w:rsid w:val="00D62E19"/>
    <w:rsid w:val="00D67CD1"/>
    <w:rsid w:val="00D738D6"/>
    <w:rsid w:val="00D80795"/>
    <w:rsid w:val="00D854BE"/>
    <w:rsid w:val="00D87E00"/>
    <w:rsid w:val="00D9134D"/>
    <w:rsid w:val="00D96D11"/>
    <w:rsid w:val="00DA7A03"/>
    <w:rsid w:val="00DB0DB8"/>
    <w:rsid w:val="00DB1818"/>
    <w:rsid w:val="00DC309B"/>
    <w:rsid w:val="00DC4DA2"/>
    <w:rsid w:val="00DC5261"/>
    <w:rsid w:val="00DE25D2"/>
    <w:rsid w:val="00E46C08"/>
    <w:rsid w:val="00E471CF"/>
    <w:rsid w:val="00E62835"/>
    <w:rsid w:val="00E77645"/>
    <w:rsid w:val="00E83697"/>
    <w:rsid w:val="00E913F2"/>
    <w:rsid w:val="00E95C93"/>
    <w:rsid w:val="00EA66C9"/>
    <w:rsid w:val="00EC4A25"/>
    <w:rsid w:val="00F025A2"/>
    <w:rsid w:val="00F036E9"/>
    <w:rsid w:val="00F07388"/>
    <w:rsid w:val="00F2026E"/>
    <w:rsid w:val="00F2210A"/>
    <w:rsid w:val="00F37743"/>
    <w:rsid w:val="00F54A3D"/>
    <w:rsid w:val="00F54CB0"/>
    <w:rsid w:val="00F579CD"/>
    <w:rsid w:val="00F653B8"/>
    <w:rsid w:val="00F71B89"/>
    <w:rsid w:val="00F7353C"/>
    <w:rsid w:val="00F76F8F"/>
    <w:rsid w:val="00F941DF"/>
    <w:rsid w:val="00FA1266"/>
    <w:rsid w:val="00FB36FA"/>
    <w:rsid w:val="00FC1192"/>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table" w:styleId="TableGrid">
    <w:name w:val="Table Grid"/>
    <w:basedOn w:val="TableNormal"/>
    <w:rsid w:val="004C6D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E913F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913F2"/>
    <w:rPr>
      <w:rFonts w:ascii="Arial" w:eastAsia="MS Mincho"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730299573">
      <w:bodyDiv w:val="1"/>
      <w:marLeft w:val="0"/>
      <w:marRight w:val="0"/>
      <w:marTop w:val="0"/>
      <w:marBottom w:val="0"/>
      <w:divBdr>
        <w:top w:val="none" w:sz="0" w:space="0" w:color="auto"/>
        <w:left w:val="none" w:sz="0" w:space="0" w:color="auto"/>
        <w:bottom w:val="none" w:sz="0" w:space="0" w:color="auto"/>
        <w:right w:val="none" w:sz="0" w:space="0" w:color="auto"/>
      </w:divBdr>
    </w:div>
    <w:div w:id="19404877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www.3gpp.org/ftp/tsg_ran/TSG_RAN/TSGR_85/Docs/RP-192330.zip"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0" ma:contentTypeDescription="Create a new document." ma:contentTypeScope="" ma:versionID="c737d9468f99fef9e204e4bf551bedd7">
  <xsd:schema xmlns:xsd="http://www.w3.org/2001/XMLSchema" xmlns:xs="http://www.w3.org/2001/XMLSchema" xmlns:p="http://schemas.microsoft.com/office/2006/metadata/properties" xmlns:ns3="71c5aaf6-e6ce-465b-b873-5148d2a4c105" xmlns:ns4="55ae6c15-9962-46ae-a768-8deca3649a65" targetNamespace="http://schemas.microsoft.com/office/2006/metadata/properties" ma:root="true" ma:fieldsID="fc749abe0231d9c9e9d050a823225aff" ns3:_="" ns4:_="">
    <xsd:import namespace="71c5aaf6-e6ce-465b-b873-5148d2a4c105"/>
    <xsd:import namespace="55ae6c15-9962-46ae-a768-8deca3649a65"/>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MediaServiceAutoTags"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5AIRPNAIUNRU-859666464-5536</_dlc_DocId>
    <_dlc_DocIdUrl xmlns="71c5aaf6-e6ce-465b-b873-5148d2a4c105">
      <Url>https://nokia.sharepoint.com/sites/c5g/e2earch/_layouts/15/DocIdRedir.aspx?ID=5AIRPNAIUNRU-859666464-5536</Url>
      <Description>5AIRPNAIUNRU-859666464-5536</Description>
    </_dlc_DocIdUrl>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file>

<file path=customXml/itemProps1.xml><?xml version="1.0" encoding="utf-8"?>
<ds:datastoreItem xmlns:ds="http://schemas.openxmlformats.org/officeDocument/2006/customXml" ds:itemID="{9E3347A9-642F-47EB-9760-B16AD3793E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3.xml><?xml version="1.0" encoding="utf-8"?>
<ds:datastoreItem xmlns:ds="http://schemas.openxmlformats.org/officeDocument/2006/customXml" ds:itemID="{8ED1FF41-9130-4FBF-B742-64100F73850B}">
  <ds:schemaRefs>
    <ds:schemaRef ds:uri="http://purl.org/dc/terms/"/>
    <ds:schemaRef ds:uri="71c5aaf6-e6ce-465b-b873-5148d2a4c105"/>
    <ds:schemaRef ds:uri="http://schemas.microsoft.com/office/2006/documentManagement/types"/>
    <ds:schemaRef ds:uri="http://schemas.openxmlformats.org/package/2006/metadata/core-properties"/>
    <ds:schemaRef ds:uri="http://purl.org/dc/elements/1.1/"/>
    <ds:schemaRef ds:uri="55ae6c15-9962-46ae-a768-8deca3649a65"/>
    <ds:schemaRef ds:uri="http://schemas.microsoft.com/office/infopath/2007/PartnerControls"/>
    <ds:schemaRef ds:uri="http://schemas.microsoft.com/office/2006/metadata/properties"/>
    <ds:schemaRef ds:uri="http://www.w3.org/XML/1998/namespace"/>
    <ds:schemaRef ds:uri="http://purl.org/dc/dcmitype/"/>
  </ds:schemaRefs>
</ds:datastoreItem>
</file>

<file path=customXml/itemProps4.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5.xml><?xml version="1.0" encoding="utf-8"?>
<ds:datastoreItem xmlns:ds="http://schemas.openxmlformats.org/officeDocument/2006/customXml" ds:itemID="{F8F397FE-4FB2-492C-A814-F102F2987CF7}">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 TDoc.dot</Template>
  <TotalTime>0</TotalTime>
  <Pages>3</Pages>
  <Words>1306</Words>
  <Characters>7448</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8737</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Turtinen, Samuli (Nokia - FI/Oulu)</dc:creator>
  <cp:lastModifiedBy>Turtinen, Samuli (Nokia - FI/Oulu)</cp:lastModifiedBy>
  <cp:revision>2</cp:revision>
  <dcterms:created xsi:type="dcterms:W3CDTF">2019-11-07T12:16:00Z</dcterms:created>
  <dcterms:modified xsi:type="dcterms:W3CDTF">2019-11-07T12:16:00Z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0x0101002779548D02695F479F904726726C80A8</vt:lpwstr>
  </property>
  <property fmtid="{D5CDD505-2E9C-101B-9397-08002B2CF9AE}" pid="3" name="_dlc_DocIdItemGuid">
    <vt:lpwstr>32629de9-284c-4131-aee3-5fe7279ba49f</vt:lpwstr>
  </property>
</Properties>
</file>